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F9E2" w14:textId="42B1ED94" w:rsidR="00AD49A7" w:rsidRPr="00AD49A7" w:rsidRDefault="00AD49A7" w:rsidP="00AD49A7">
      <w:pPr>
        <w:spacing w:before="51" w:line="360" w:lineRule="auto"/>
        <w:ind w:left="100"/>
        <w:rPr>
          <w:rFonts w:eastAsia="Calibri"/>
          <w:sz w:val="28"/>
          <w:szCs w:val="28"/>
        </w:rPr>
      </w:pPr>
      <w:r w:rsidRPr="00AD49A7">
        <w:rPr>
          <w:rFonts w:eastAsia="Calibri"/>
          <w:b/>
          <w:w w:val="99"/>
          <w:sz w:val="28"/>
          <w:szCs w:val="28"/>
        </w:rPr>
        <w:t>19</w:t>
      </w:r>
      <w:proofErr w:type="spellStart"/>
      <w:r w:rsidRPr="00AD49A7">
        <w:rPr>
          <w:rFonts w:eastAsia="Calibri"/>
          <w:b/>
          <w:position w:val="10"/>
          <w:sz w:val="28"/>
          <w:szCs w:val="28"/>
        </w:rPr>
        <w:t>th</w:t>
      </w:r>
      <w:proofErr w:type="spellEnd"/>
      <w:r w:rsidRPr="00AD49A7">
        <w:rPr>
          <w:rFonts w:eastAsia="Calibri"/>
          <w:b/>
          <w:w w:val="99"/>
          <w:sz w:val="28"/>
          <w:szCs w:val="28"/>
        </w:rPr>
        <w:t>Academic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Sessions,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University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of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Ruhuna</w:t>
      </w:r>
    </w:p>
    <w:p w14:paraId="59DF66C6" w14:textId="3EF42BFE" w:rsidR="00AD49A7" w:rsidRPr="00AD49A7" w:rsidRDefault="00AD49A7" w:rsidP="00AD49A7">
      <w:pPr>
        <w:spacing w:line="360" w:lineRule="auto"/>
        <w:ind w:left="100"/>
        <w:rPr>
          <w:rFonts w:eastAsia="Calibri"/>
          <w:sz w:val="28"/>
          <w:szCs w:val="28"/>
        </w:rPr>
      </w:pPr>
      <w:r w:rsidRPr="00AD49A7">
        <w:rPr>
          <w:rFonts w:eastAsia="Calibri"/>
          <w:b/>
          <w:w w:val="99"/>
          <w:sz w:val="28"/>
          <w:szCs w:val="28"/>
        </w:rPr>
        <w:t>Instructions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to</w:t>
      </w:r>
      <w:r w:rsidRPr="00AD49A7">
        <w:rPr>
          <w:rFonts w:eastAsia="Calibri"/>
          <w:b/>
          <w:sz w:val="28"/>
          <w:szCs w:val="28"/>
        </w:rPr>
        <w:t xml:space="preserve"> </w:t>
      </w:r>
      <w:r w:rsidRPr="00AD49A7">
        <w:rPr>
          <w:rFonts w:eastAsia="Calibri"/>
          <w:b/>
          <w:w w:val="99"/>
          <w:sz w:val="28"/>
          <w:szCs w:val="28"/>
        </w:rPr>
        <w:t>Authors</w:t>
      </w:r>
    </w:p>
    <w:p w14:paraId="6A7691E5" w14:textId="77777777" w:rsidR="00AD49A7" w:rsidRPr="00AD49A7" w:rsidRDefault="00AD49A7" w:rsidP="00AD49A7">
      <w:pPr>
        <w:spacing w:line="360" w:lineRule="auto"/>
        <w:ind w:left="100"/>
        <w:rPr>
          <w:rFonts w:eastAsia="Calibri"/>
          <w:sz w:val="28"/>
          <w:szCs w:val="28"/>
        </w:rPr>
      </w:pPr>
      <w:r w:rsidRPr="00AD49A7">
        <w:rPr>
          <w:rFonts w:eastAsia="Calibri"/>
          <w:b/>
          <w:sz w:val="28"/>
          <w:szCs w:val="28"/>
        </w:rPr>
        <w:t>General instructions</w:t>
      </w:r>
    </w:p>
    <w:p w14:paraId="61C7E178" w14:textId="77777777" w:rsidR="00AD49A7" w:rsidRPr="00AD49A7" w:rsidRDefault="00AD49A7" w:rsidP="00AD49A7">
      <w:pPr>
        <w:spacing w:before="9" w:line="276" w:lineRule="auto"/>
        <w:rPr>
          <w:sz w:val="24"/>
          <w:szCs w:val="24"/>
        </w:rPr>
      </w:pPr>
    </w:p>
    <w:p w14:paraId="4C21AC48" w14:textId="4790F010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line="360" w:lineRule="auto"/>
        <w:ind w:right="72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The objective of the Academic Sessions is to provide a forum for academics, academic support, administrative and technical staff, postgraduate students including temporary demonstrators and undergraduate students at the University of Ruhuna to present their research findings.</w:t>
      </w:r>
    </w:p>
    <w:p w14:paraId="42DB3161" w14:textId="34EAC726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21" w:line="360" w:lineRule="auto"/>
        <w:ind w:right="70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Extended abstracts are invited, consisting of original research findings or comprehensive reviews. (Please see the guidelines for preparation and submission of papers given below).</w:t>
      </w:r>
    </w:p>
    <w:p w14:paraId="6E022D4D" w14:textId="1DFDCD07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9" w:line="360" w:lineRule="auto"/>
        <w:ind w:right="70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Submission of papers is limited to permanent academic, administrative, and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non- academic staff members at University of Ruhuna.</w:t>
      </w:r>
    </w:p>
    <w:p w14:paraId="6490E5B8" w14:textId="23EE32C8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8" w:line="360" w:lineRule="auto"/>
        <w:ind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 xml:space="preserve">Postgraduate and undergraduate students, graduates, and temporary staff members and authors from outside institutions can be co-authors only when a </w:t>
      </w:r>
      <w:r w:rsidRPr="00AD49A7">
        <w:rPr>
          <w:rFonts w:eastAsia="Calibri"/>
          <w:b/>
          <w:sz w:val="24"/>
          <w:szCs w:val="24"/>
        </w:rPr>
        <w:t xml:space="preserve">permanent academic staff member </w:t>
      </w:r>
      <w:r w:rsidRPr="00AD49A7">
        <w:rPr>
          <w:rFonts w:eastAsia="Calibri"/>
          <w:sz w:val="24"/>
          <w:szCs w:val="24"/>
        </w:rPr>
        <w:t xml:space="preserve">of University of Ruhuna is </w:t>
      </w:r>
      <w:r w:rsidRPr="00AD49A7">
        <w:rPr>
          <w:rFonts w:eastAsia="Calibri"/>
          <w:b/>
          <w:sz w:val="24"/>
          <w:szCs w:val="24"/>
        </w:rPr>
        <w:t>the corresponding author</w:t>
      </w:r>
      <w:r w:rsidRPr="00AD49A7">
        <w:rPr>
          <w:rFonts w:eastAsia="Calibri"/>
          <w:sz w:val="24"/>
          <w:szCs w:val="24"/>
        </w:rPr>
        <w:t>.</w:t>
      </w:r>
    </w:p>
    <w:p w14:paraId="25C9C2B3" w14:textId="09CBBDE5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21" w:line="360" w:lineRule="auto"/>
        <w:ind w:right="168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b/>
          <w:sz w:val="24"/>
          <w:szCs w:val="24"/>
        </w:rPr>
        <w:t>To publish in the proceedings of the 19</w:t>
      </w:r>
      <w:proofErr w:type="spellStart"/>
      <w:r w:rsidRPr="00AD49A7">
        <w:rPr>
          <w:rFonts w:eastAsia="Calibri"/>
          <w:b/>
          <w:position w:val="5"/>
          <w:sz w:val="24"/>
          <w:szCs w:val="24"/>
          <w:vertAlign w:val="superscript"/>
        </w:rPr>
        <w:t>th</w:t>
      </w:r>
      <w:proofErr w:type="spellEnd"/>
      <w:r>
        <w:rPr>
          <w:rFonts w:eastAsia="Calibri"/>
          <w:b/>
          <w:position w:val="5"/>
          <w:sz w:val="24"/>
          <w:szCs w:val="24"/>
        </w:rPr>
        <w:t xml:space="preserve"> </w:t>
      </w:r>
      <w:r w:rsidRPr="00AD49A7">
        <w:rPr>
          <w:rFonts w:eastAsia="Calibri"/>
          <w:b/>
          <w:sz w:val="24"/>
          <w:szCs w:val="24"/>
        </w:rPr>
        <w:t xml:space="preserve">Academic sessions, authors should submit the abstract </w:t>
      </w:r>
      <w:r w:rsidR="00202CAD">
        <w:rPr>
          <w:rFonts w:eastAsia="Calibri"/>
          <w:b/>
          <w:sz w:val="24"/>
          <w:szCs w:val="24"/>
        </w:rPr>
        <w:t>with the</w:t>
      </w:r>
      <w:r w:rsidRPr="00AD49A7">
        <w:rPr>
          <w:rFonts w:eastAsia="Calibri"/>
          <w:b/>
          <w:sz w:val="24"/>
          <w:szCs w:val="24"/>
        </w:rPr>
        <w:t xml:space="preserve"> extended abstract in the prescribed format</w:t>
      </w:r>
      <w:r w:rsidR="00202CAD">
        <w:rPr>
          <w:rFonts w:eastAsia="Calibri"/>
          <w:b/>
          <w:sz w:val="24"/>
          <w:szCs w:val="24"/>
        </w:rPr>
        <w:t xml:space="preserve"> available </w:t>
      </w:r>
      <w:proofErr w:type="gramStart"/>
      <w:r w:rsidR="00202CAD">
        <w:rPr>
          <w:rFonts w:eastAsia="Calibri"/>
          <w:b/>
          <w:sz w:val="24"/>
          <w:szCs w:val="24"/>
        </w:rPr>
        <w:t>in</w:t>
      </w:r>
      <w:proofErr w:type="gramEnd"/>
      <w:r w:rsidR="00202CAD">
        <w:rPr>
          <w:rFonts w:eastAsia="Calibri"/>
          <w:b/>
          <w:sz w:val="24"/>
          <w:szCs w:val="24"/>
        </w:rPr>
        <w:t xml:space="preserve"> the website</w:t>
      </w:r>
      <w:r w:rsidRPr="00AD49A7">
        <w:rPr>
          <w:rFonts w:eastAsia="Calibri"/>
          <w:b/>
          <w:sz w:val="24"/>
          <w:szCs w:val="24"/>
        </w:rPr>
        <w:t>.</w:t>
      </w:r>
    </w:p>
    <w:p w14:paraId="0BA134F6" w14:textId="1C65C458" w:rsidR="00AD49A7" w:rsidRPr="00AD49A7" w:rsidRDefault="00AD49A7" w:rsidP="00B01F21">
      <w:pPr>
        <w:pStyle w:val="ListParagraph"/>
        <w:numPr>
          <w:ilvl w:val="0"/>
          <w:numId w:val="4"/>
        </w:numPr>
        <w:spacing w:before="18" w:line="360" w:lineRule="auto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All the papers should be submitted online. The link for online submission could</w:t>
      </w:r>
    </w:p>
    <w:p w14:paraId="42796DE0" w14:textId="64C361E5" w:rsidR="00AD49A7" w:rsidRDefault="00AD49A7" w:rsidP="00B01F21">
      <w:pPr>
        <w:pStyle w:val="ListParagraph"/>
        <w:numPr>
          <w:ilvl w:val="1"/>
          <w:numId w:val="1"/>
        </w:numPr>
        <w:spacing w:before="43" w:line="360" w:lineRule="auto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be found on the homepage of “1</w:t>
      </w:r>
      <w:r>
        <w:rPr>
          <w:rFonts w:eastAsia="Calibri"/>
          <w:sz w:val="24"/>
          <w:szCs w:val="24"/>
        </w:rPr>
        <w:t>9</w:t>
      </w:r>
      <w:proofErr w:type="spellStart"/>
      <w:r w:rsidRPr="00AD49A7">
        <w:rPr>
          <w:rFonts w:eastAsia="Calibri"/>
          <w:position w:val="8"/>
          <w:sz w:val="24"/>
          <w:szCs w:val="24"/>
        </w:rPr>
        <w:t>th</w:t>
      </w:r>
      <w:proofErr w:type="spellEnd"/>
      <w:r w:rsidRPr="00AD49A7">
        <w:rPr>
          <w:rFonts w:eastAsia="Calibri"/>
          <w:position w:val="8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Academic Sessions</w:t>
      </w:r>
      <w:r w:rsidR="00202CAD">
        <w:rPr>
          <w:rFonts w:eastAsia="Calibri"/>
          <w:sz w:val="24"/>
          <w:szCs w:val="24"/>
        </w:rPr>
        <w:t xml:space="preserve"> 2022</w:t>
      </w:r>
      <w:r w:rsidRPr="00AD49A7">
        <w:rPr>
          <w:rFonts w:eastAsia="Calibri"/>
          <w:sz w:val="24"/>
          <w:szCs w:val="24"/>
        </w:rPr>
        <w:t>”</w:t>
      </w:r>
      <w:r>
        <w:rPr>
          <w:rFonts w:eastAsia="Calibri"/>
          <w:sz w:val="24"/>
          <w:szCs w:val="24"/>
        </w:rPr>
        <w:t>.</w:t>
      </w:r>
    </w:p>
    <w:p w14:paraId="147EE190" w14:textId="77777777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55" w:line="360" w:lineRule="auto"/>
        <w:ind w:right="74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The extended abstracts submitted for presentations should be original and should not have been published previously in the same or any other form or being considered for presentations elsewhere.</w:t>
      </w:r>
    </w:p>
    <w:p w14:paraId="2FD06BF6" w14:textId="08DA3394" w:rsidR="00AD49A7" w:rsidRPr="00202CAD" w:rsidRDefault="00AD49A7" w:rsidP="00B01F21">
      <w:pPr>
        <w:pStyle w:val="ListParagraph"/>
        <w:numPr>
          <w:ilvl w:val="0"/>
          <w:numId w:val="4"/>
        </w:numPr>
        <w:spacing w:before="18" w:line="360" w:lineRule="auto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All the papers will be reviewed to determine their acceptability for presentation at the</w:t>
      </w:r>
      <w:r w:rsidR="00202CAD">
        <w:rPr>
          <w:rFonts w:eastAsia="Calibri"/>
          <w:sz w:val="24"/>
          <w:szCs w:val="24"/>
        </w:rPr>
        <w:t xml:space="preserve"> </w:t>
      </w:r>
      <w:r w:rsidRPr="00202CAD">
        <w:rPr>
          <w:rFonts w:eastAsia="Calibri"/>
          <w:sz w:val="24"/>
          <w:szCs w:val="24"/>
        </w:rPr>
        <w:t>19</w:t>
      </w:r>
      <w:proofErr w:type="spellStart"/>
      <w:r w:rsidRPr="00202CAD">
        <w:rPr>
          <w:rFonts w:eastAsia="Calibri"/>
          <w:position w:val="8"/>
          <w:sz w:val="24"/>
          <w:szCs w:val="24"/>
        </w:rPr>
        <w:t>th</w:t>
      </w:r>
      <w:proofErr w:type="spellEnd"/>
      <w:r w:rsidRPr="00202CAD">
        <w:rPr>
          <w:rFonts w:eastAsia="Calibri"/>
          <w:position w:val="8"/>
          <w:sz w:val="24"/>
          <w:szCs w:val="24"/>
        </w:rPr>
        <w:t xml:space="preserve"> </w:t>
      </w:r>
      <w:r w:rsidRPr="00202CAD">
        <w:rPr>
          <w:rFonts w:eastAsia="Calibri"/>
          <w:sz w:val="24"/>
          <w:szCs w:val="24"/>
        </w:rPr>
        <w:t>Academic Sessions and those selected would be notified by e-mail.</w:t>
      </w:r>
    </w:p>
    <w:p w14:paraId="69CA8C3D" w14:textId="57480F25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57" w:line="360" w:lineRule="auto"/>
        <w:ind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The accepted papers along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with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the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reviewers’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comments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will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be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sent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to</w:t>
      </w:r>
      <w:r>
        <w:rPr>
          <w:rFonts w:eastAsia="Calibri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 xml:space="preserve">the corresponding author for revision and resubmission (if necessary). The resubmission should be done to the </w:t>
      </w:r>
      <w:r w:rsidR="00202CAD">
        <w:rPr>
          <w:rFonts w:eastAsia="Calibri"/>
          <w:sz w:val="24"/>
          <w:szCs w:val="24"/>
        </w:rPr>
        <w:t>CMT online platform</w:t>
      </w:r>
      <w:r w:rsidRPr="00AD49A7">
        <w:rPr>
          <w:rFonts w:eastAsia="Calibri"/>
          <w:sz w:val="24"/>
          <w:szCs w:val="24"/>
        </w:rPr>
        <w:t xml:space="preserve"> within a period of </w:t>
      </w:r>
      <w:r w:rsidR="00686B9A">
        <w:rPr>
          <w:rFonts w:eastAsia="Calibri"/>
          <w:sz w:val="24"/>
          <w:szCs w:val="24"/>
        </w:rPr>
        <w:t>one</w:t>
      </w:r>
      <w:r w:rsidRPr="00AD49A7">
        <w:rPr>
          <w:rFonts w:eastAsia="Calibri"/>
          <w:sz w:val="24"/>
          <w:szCs w:val="24"/>
        </w:rPr>
        <w:t xml:space="preserve"> week.</w:t>
      </w:r>
    </w:p>
    <w:p w14:paraId="1A72F221" w14:textId="0D1A7A80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6" w:line="360" w:lineRule="auto"/>
        <w:ind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Abstracts of the accepted papers would be published in the proceedings of the 1</w:t>
      </w:r>
      <w:r>
        <w:rPr>
          <w:rFonts w:eastAsia="Calibri"/>
          <w:sz w:val="24"/>
          <w:szCs w:val="24"/>
        </w:rPr>
        <w:t>9</w:t>
      </w:r>
      <w:proofErr w:type="spellStart"/>
      <w:r w:rsidRPr="00AD49A7">
        <w:rPr>
          <w:rFonts w:eastAsia="Calibri"/>
          <w:position w:val="8"/>
          <w:sz w:val="24"/>
          <w:szCs w:val="24"/>
        </w:rPr>
        <w:t>th</w:t>
      </w:r>
      <w:proofErr w:type="spellEnd"/>
      <w:r w:rsidRPr="00AD49A7">
        <w:rPr>
          <w:rFonts w:eastAsia="Calibri"/>
          <w:position w:val="8"/>
          <w:sz w:val="24"/>
          <w:szCs w:val="24"/>
        </w:rPr>
        <w:t xml:space="preserve"> </w:t>
      </w:r>
      <w:r w:rsidRPr="00AD49A7">
        <w:rPr>
          <w:rFonts w:eastAsia="Calibri"/>
          <w:sz w:val="24"/>
          <w:szCs w:val="24"/>
        </w:rPr>
        <w:t>Academic Sessions. The abstracts will be edited (if necessary) to improve the clarity and to conform to the publication guidelines.</w:t>
      </w:r>
    </w:p>
    <w:p w14:paraId="46BF9A07" w14:textId="0DE065CC" w:rsidR="00AD49A7" w:rsidRPr="00686B9A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7" w:line="360" w:lineRule="auto"/>
        <w:ind w:right="72"/>
        <w:jc w:val="both"/>
        <w:rPr>
          <w:rFonts w:eastAsia="Calibri"/>
          <w:sz w:val="24"/>
          <w:szCs w:val="24"/>
        </w:rPr>
      </w:pPr>
      <w:r w:rsidRPr="00686B9A">
        <w:rPr>
          <w:rFonts w:eastAsia="Calibri"/>
          <w:sz w:val="24"/>
          <w:szCs w:val="24"/>
        </w:rPr>
        <w:t>Authors who have submitted the abstract and the extended abstract to 19</w:t>
      </w:r>
      <w:proofErr w:type="spellStart"/>
      <w:r w:rsidRPr="00686B9A">
        <w:rPr>
          <w:rFonts w:eastAsia="Calibri"/>
          <w:position w:val="8"/>
          <w:sz w:val="24"/>
          <w:szCs w:val="24"/>
        </w:rPr>
        <w:t>th</w:t>
      </w:r>
      <w:proofErr w:type="spellEnd"/>
      <w:r w:rsidRPr="00686B9A">
        <w:rPr>
          <w:rFonts w:eastAsia="Calibri"/>
          <w:position w:val="8"/>
          <w:sz w:val="24"/>
          <w:szCs w:val="24"/>
        </w:rPr>
        <w:t xml:space="preserve"> </w:t>
      </w:r>
      <w:r w:rsidRPr="00686B9A">
        <w:rPr>
          <w:rFonts w:eastAsia="Calibri"/>
          <w:sz w:val="24"/>
          <w:szCs w:val="24"/>
        </w:rPr>
        <w:t>Academic Sessions, if willing to publish the full paper, should additionally submit the full paper</w:t>
      </w:r>
      <w:hyperlink r:id="rId5" w:history="1">
        <w:r w:rsidRPr="00686B9A">
          <w:rPr>
            <w:rStyle w:val="Hyperlink"/>
            <w:rFonts w:eastAsia="Calibri"/>
            <w:color w:val="auto"/>
            <w:sz w:val="24"/>
            <w:szCs w:val="24"/>
            <w:u w:val="none"/>
          </w:rPr>
          <w:t xml:space="preserve"> either to Rohana Research Journal (</w:t>
        </w:r>
        <w:r w:rsidRPr="00686B9A">
          <w:rPr>
            <w:rStyle w:val="Hyperlink"/>
            <w:rFonts w:eastAsia="Calibri"/>
            <w:color w:val="0000FF"/>
            <w:sz w:val="24"/>
            <w:szCs w:val="24"/>
            <w:u w:val="none"/>
          </w:rPr>
          <w:t>http://www.lib.ruh.ac.lk/rohana/</w:t>
        </w:r>
      </w:hyperlink>
      <w:r w:rsidRPr="00686B9A">
        <w:rPr>
          <w:rFonts w:eastAsia="Calibri"/>
          <w:color w:val="000000"/>
          <w:sz w:val="24"/>
          <w:szCs w:val="24"/>
        </w:rPr>
        <w:t>) or to Journal of the University of Ruhuna (</w:t>
      </w:r>
      <w:hyperlink r:id="rId6" w:history="1">
        <w:r w:rsidRPr="00686B9A">
          <w:rPr>
            <w:rStyle w:val="Hyperlink"/>
            <w:rFonts w:eastAsia="Calibri"/>
            <w:color w:val="0462C1"/>
            <w:sz w:val="24"/>
            <w:szCs w:val="24"/>
          </w:rPr>
          <w:t>http://www.lib.ruh.ac.lk/JUR/</w:t>
        </w:r>
        <w:r w:rsidRPr="00686B9A">
          <w:rPr>
            <w:rStyle w:val="Hyperlink"/>
            <w:rFonts w:eastAsia="Calibri"/>
            <w:color w:val="000000"/>
            <w:sz w:val="24"/>
            <w:szCs w:val="24"/>
            <w:u w:val="none"/>
          </w:rPr>
          <w:t>).</w:t>
        </w:r>
      </w:hyperlink>
    </w:p>
    <w:p w14:paraId="0A19CDFB" w14:textId="2BED4849" w:rsidR="00AD49A7" w:rsidRPr="00AD49A7" w:rsidRDefault="00AD49A7" w:rsidP="00AD49A7">
      <w:pPr>
        <w:pStyle w:val="ListParagraph"/>
        <w:numPr>
          <w:ilvl w:val="0"/>
          <w:numId w:val="4"/>
        </w:numPr>
        <w:spacing w:before="18" w:line="276" w:lineRule="auto"/>
        <w:rPr>
          <w:rFonts w:eastAsia="Calibri"/>
          <w:sz w:val="24"/>
          <w:szCs w:val="24"/>
        </w:rPr>
        <w:sectPr w:rsidR="00AD49A7" w:rsidRPr="00AD49A7">
          <w:pgSz w:w="12240" w:h="15840"/>
          <w:pgMar w:top="660" w:right="1320" w:bottom="280" w:left="1340" w:header="720" w:footer="720" w:gutter="0"/>
          <w:cols w:space="720"/>
        </w:sectPr>
      </w:pPr>
    </w:p>
    <w:p w14:paraId="1AFFD5A7" w14:textId="77777777" w:rsidR="00AD49A7" w:rsidRPr="00AD49A7" w:rsidRDefault="00AD49A7" w:rsidP="00B01F21">
      <w:pPr>
        <w:spacing w:before="31" w:line="360" w:lineRule="auto"/>
        <w:ind w:left="100"/>
        <w:rPr>
          <w:rFonts w:eastAsia="Calibri"/>
          <w:sz w:val="24"/>
          <w:szCs w:val="24"/>
        </w:rPr>
      </w:pPr>
      <w:r w:rsidRPr="00AD49A7">
        <w:rPr>
          <w:rFonts w:eastAsia="Calibri"/>
          <w:b/>
          <w:w w:val="99"/>
          <w:sz w:val="24"/>
          <w:szCs w:val="24"/>
        </w:rPr>
        <w:lastRenderedPageBreak/>
        <w:t>Presenting</w:t>
      </w:r>
      <w:r w:rsidRPr="00AD49A7">
        <w:rPr>
          <w:rFonts w:eastAsia="Calibri"/>
          <w:b/>
          <w:sz w:val="24"/>
          <w:szCs w:val="24"/>
        </w:rPr>
        <w:t xml:space="preserve"> </w:t>
      </w:r>
      <w:r w:rsidRPr="00AD49A7">
        <w:rPr>
          <w:rFonts w:eastAsia="Calibri"/>
          <w:b/>
          <w:w w:val="99"/>
          <w:sz w:val="24"/>
          <w:szCs w:val="24"/>
        </w:rPr>
        <w:t>at</w:t>
      </w:r>
      <w:r w:rsidRPr="00AD49A7">
        <w:rPr>
          <w:rFonts w:eastAsia="Calibri"/>
          <w:b/>
          <w:sz w:val="24"/>
          <w:szCs w:val="24"/>
        </w:rPr>
        <w:t xml:space="preserve"> </w:t>
      </w:r>
      <w:r w:rsidRPr="00AD49A7">
        <w:rPr>
          <w:rFonts w:eastAsia="Calibri"/>
          <w:b/>
          <w:w w:val="99"/>
          <w:sz w:val="24"/>
          <w:szCs w:val="24"/>
        </w:rPr>
        <w:t>the</w:t>
      </w:r>
      <w:r w:rsidRPr="00AD49A7">
        <w:rPr>
          <w:rFonts w:eastAsia="Calibri"/>
          <w:b/>
          <w:sz w:val="24"/>
          <w:szCs w:val="24"/>
        </w:rPr>
        <w:t xml:space="preserve"> </w:t>
      </w:r>
      <w:r w:rsidRPr="00AD49A7">
        <w:rPr>
          <w:rFonts w:eastAsia="Calibri"/>
          <w:b/>
          <w:w w:val="99"/>
          <w:sz w:val="24"/>
          <w:szCs w:val="24"/>
        </w:rPr>
        <w:t>sessions</w:t>
      </w:r>
    </w:p>
    <w:p w14:paraId="63B4155F" w14:textId="77777777" w:rsidR="00AD49A7" w:rsidRPr="00AD49A7" w:rsidRDefault="00AD49A7" w:rsidP="00B01F21">
      <w:pPr>
        <w:spacing w:before="1" w:line="360" w:lineRule="auto"/>
        <w:rPr>
          <w:sz w:val="24"/>
          <w:szCs w:val="24"/>
        </w:rPr>
      </w:pPr>
    </w:p>
    <w:p w14:paraId="64B55457" w14:textId="1A50B277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line="360" w:lineRule="auto"/>
        <w:ind w:left="820"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Presenting of papers at the sessions (oral) is strictly restricted to permanent staff members of the University of Ruhuna or postgraduate students registered at the University of Ruhuna.</w:t>
      </w:r>
    </w:p>
    <w:p w14:paraId="1B718BB6" w14:textId="058F5573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8" w:line="360" w:lineRule="auto"/>
        <w:ind w:left="820"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 xml:space="preserve">Undergraduates, graduates, and temporary staff co-authors, who are not registered for postgraduate program in the University of Ruhuna, </w:t>
      </w:r>
      <w:r w:rsidRPr="00AD49A7">
        <w:rPr>
          <w:rFonts w:eastAsia="Calibri"/>
          <w:b/>
          <w:sz w:val="24"/>
          <w:szCs w:val="24"/>
        </w:rPr>
        <w:t>will be allowed to present at</w:t>
      </w:r>
      <w:r w:rsidR="00686B9A">
        <w:rPr>
          <w:rFonts w:eastAsia="Calibri"/>
          <w:b/>
          <w:sz w:val="24"/>
          <w:szCs w:val="24"/>
        </w:rPr>
        <w:t xml:space="preserve"> the poster </w:t>
      </w:r>
      <w:r w:rsidRPr="00AD49A7">
        <w:rPr>
          <w:rFonts w:eastAsia="Calibri"/>
          <w:b/>
          <w:sz w:val="24"/>
          <w:szCs w:val="24"/>
        </w:rPr>
        <w:t xml:space="preserve">session </w:t>
      </w:r>
      <w:r w:rsidR="00686B9A">
        <w:rPr>
          <w:rFonts w:eastAsia="Calibri"/>
          <w:b/>
          <w:sz w:val="24"/>
          <w:szCs w:val="24"/>
        </w:rPr>
        <w:t>only</w:t>
      </w:r>
      <w:r w:rsidRPr="00AD49A7">
        <w:rPr>
          <w:rFonts w:eastAsia="Calibri"/>
          <w:sz w:val="24"/>
          <w:szCs w:val="24"/>
        </w:rPr>
        <w:t>.</w:t>
      </w:r>
    </w:p>
    <w:p w14:paraId="6E09937D" w14:textId="357B3093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21" w:line="360" w:lineRule="auto"/>
        <w:ind w:left="820" w:right="72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When the scheduled presenter is unavailable for presentation due to an unavoidable circumstance, a co-author can present if he/she is a permanent staff member or a postgraduate student at University of Ruhuna.</w:t>
      </w:r>
    </w:p>
    <w:p w14:paraId="006C2278" w14:textId="426779E0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8" w:line="360" w:lineRule="auto"/>
        <w:ind w:left="820" w:right="72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 xml:space="preserve">If the co-authors are not permanent staff members or postgraduate students, another Permanent </w:t>
      </w:r>
      <w:r w:rsidRPr="00AD49A7">
        <w:rPr>
          <w:rFonts w:eastAsia="Calibri"/>
          <w:b/>
          <w:sz w:val="24"/>
          <w:szCs w:val="24"/>
        </w:rPr>
        <w:t>Academic Staff member in the same discipline, although not a co-author</w:t>
      </w:r>
      <w:r w:rsidRPr="00AD49A7">
        <w:rPr>
          <w:rFonts w:eastAsia="Calibri"/>
          <w:sz w:val="24"/>
          <w:szCs w:val="24"/>
        </w:rPr>
        <w:t xml:space="preserve">, can present at the session on behalf of the scheduled presenter </w:t>
      </w:r>
      <w:r w:rsidRPr="00AD49A7">
        <w:rPr>
          <w:rFonts w:eastAsia="Calibri"/>
          <w:b/>
          <w:sz w:val="24"/>
          <w:szCs w:val="24"/>
        </w:rPr>
        <w:t>with the prior approval of the organizing committee</w:t>
      </w:r>
      <w:r w:rsidRPr="00AD49A7">
        <w:rPr>
          <w:rFonts w:eastAsia="Calibri"/>
          <w:sz w:val="24"/>
          <w:szCs w:val="24"/>
        </w:rPr>
        <w:t>.</w:t>
      </w:r>
    </w:p>
    <w:p w14:paraId="4F72F30A" w14:textId="5CC29AA4" w:rsidR="00AD49A7" w:rsidRPr="00AD49A7" w:rsidRDefault="00AD49A7" w:rsidP="00B01F21">
      <w:pPr>
        <w:pStyle w:val="ListParagraph"/>
        <w:numPr>
          <w:ilvl w:val="0"/>
          <w:numId w:val="4"/>
        </w:numPr>
        <w:tabs>
          <w:tab w:val="left" w:pos="820"/>
        </w:tabs>
        <w:spacing w:before="18" w:line="360" w:lineRule="auto"/>
        <w:ind w:left="820" w:right="73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When a presenter is unavailable at the session for presenting, the corresponding author will be blacklisted from presenting in University of Ruhuna Academic Sessions for a period of 3 (THREE) consecutive years and a notification about the blacklisting will be sent to his/her personnel file.</w:t>
      </w:r>
    </w:p>
    <w:p w14:paraId="07E2AF3D" w14:textId="77777777" w:rsidR="00AD49A7" w:rsidRPr="00AD49A7" w:rsidRDefault="00AD49A7" w:rsidP="00B01F21">
      <w:pPr>
        <w:spacing w:before="4" w:line="360" w:lineRule="auto"/>
        <w:ind w:left="360"/>
        <w:rPr>
          <w:sz w:val="24"/>
          <w:szCs w:val="24"/>
        </w:rPr>
      </w:pPr>
    </w:p>
    <w:p w14:paraId="5A4CBF1F" w14:textId="0A17D8A9" w:rsidR="00AD49A7" w:rsidRPr="00B01F21" w:rsidRDefault="00AD49A7" w:rsidP="00B01F21">
      <w:pPr>
        <w:spacing w:line="360" w:lineRule="auto"/>
        <w:rPr>
          <w:rFonts w:eastAsia="Calibri"/>
          <w:sz w:val="24"/>
          <w:szCs w:val="24"/>
        </w:rPr>
      </w:pPr>
      <w:r w:rsidRPr="00B01F21">
        <w:rPr>
          <w:rFonts w:eastAsia="Calibri"/>
          <w:b/>
          <w:w w:val="99"/>
          <w:sz w:val="24"/>
          <w:szCs w:val="24"/>
        </w:rPr>
        <w:t>Guideline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for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submission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of</w:t>
      </w:r>
      <w:r w:rsidRPr="00B01F21">
        <w:rPr>
          <w:rFonts w:eastAsia="Calibri"/>
          <w:b/>
          <w:sz w:val="24"/>
          <w:szCs w:val="24"/>
        </w:rPr>
        <w:t xml:space="preserve"> </w:t>
      </w:r>
      <w:r w:rsidRPr="00B01F21">
        <w:rPr>
          <w:rFonts w:eastAsia="Calibri"/>
          <w:b/>
          <w:w w:val="99"/>
          <w:sz w:val="24"/>
          <w:szCs w:val="24"/>
        </w:rPr>
        <w:t>papers</w:t>
      </w:r>
    </w:p>
    <w:p w14:paraId="4D4CE193" w14:textId="755942A5" w:rsidR="00AD49A7" w:rsidRPr="00B01F21" w:rsidRDefault="00686B9A" w:rsidP="00B01F21">
      <w:pPr>
        <w:pStyle w:val="ListParagraph"/>
        <w:numPr>
          <w:ilvl w:val="0"/>
          <w:numId w:val="7"/>
        </w:numPr>
        <w:spacing w:line="360" w:lineRule="auto"/>
        <w:ind w:right="1323"/>
        <w:rPr>
          <w:rFonts w:eastAsia="Calibri"/>
          <w:sz w:val="24"/>
          <w:szCs w:val="24"/>
        </w:rPr>
      </w:pPr>
      <w:r w:rsidRPr="00B01F21">
        <w:rPr>
          <w:rFonts w:eastAsia="Calibri"/>
          <w:b/>
          <w:sz w:val="24"/>
          <w:szCs w:val="24"/>
        </w:rPr>
        <w:t xml:space="preserve">Abstract with the </w:t>
      </w:r>
      <w:r w:rsidR="00AD49A7" w:rsidRPr="00B01F21">
        <w:rPr>
          <w:rFonts w:eastAsia="Calibri"/>
          <w:b/>
          <w:sz w:val="24"/>
          <w:szCs w:val="24"/>
        </w:rPr>
        <w:t>Extended Abstracts (in the prescribed format –</w:t>
      </w:r>
      <w:r w:rsidRPr="00B01F21">
        <w:rPr>
          <w:rFonts w:eastAsia="Calibri"/>
          <w:b/>
          <w:sz w:val="24"/>
          <w:szCs w:val="24"/>
        </w:rPr>
        <w:t xml:space="preserve"> </w:t>
      </w:r>
      <w:r w:rsidR="00AD49A7" w:rsidRPr="00B01F21">
        <w:rPr>
          <w:rFonts w:eastAsia="Calibri"/>
          <w:b/>
          <w:sz w:val="24"/>
          <w:szCs w:val="24"/>
        </w:rPr>
        <w:t>download from the home page) To be submitted by all the authors</w:t>
      </w:r>
    </w:p>
    <w:p w14:paraId="1976B206" w14:textId="0603505B" w:rsidR="00AD49A7" w:rsidRPr="00AD49A7" w:rsidRDefault="00AD49A7" w:rsidP="00B01F21">
      <w:pPr>
        <w:pStyle w:val="ListParagraph"/>
        <w:numPr>
          <w:ilvl w:val="1"/>
          <w:numId w:val="5"/>
        </w:numPr>
        <w:spacing w:before="43" w:line="360" w:lineRule="auto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Abstract: Maximum 300 words</w:t>
      </w:r>
    </w:p>
    <w:p w14:paraId="7998600D" w14:textId="26FEE9EF" w:rsidR="00AD49A7" w:rsidRPr="00AD49A7" w:rsidRDefault="00AD49A7" w:rsidP="00B01F21">
      <w:pPr>
        <w:pStyle w:val="ListParagraph"/>
        <w:numPr>
          <w:ilvl w:val="1"/>
          <w:numId w:val="5"/>
        </w:numPr>
        <w:spacing w:before="12" w:line="360" w:lineRule="auto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Introduction: Maximum of 200 words</w:t>
      </w:r>
    </w:p>
    <w:p w14:paraId="65A9C4B0" w14:textId="5F8B567D" w:rsidR="00AD49A7" w:rsidRPr="00AD49A7" w:rsidRDefault="00AD49A7" w:rsidP="00B01F21">
      <w:pPr>
        <w:pStyle w:val="ListParagraph"/>
        <w:numPr>
          <w:ilvl w:val="1"/>
          <w:numId w:val="5"/>
        </w:numPr>
        <w:spacing w:before="14" w:line="360" w:lineRule="auto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Materials and Methods: Maximum of 200 words</w:t>
      </w:r>
    </w:p>
    <w:p w14:paraId="3CEB786B" w14:textId="4D4578A6" w:rsidR="00AD49A7" w:rsidRPr="00AD49A7" w:rsidRDefault="00AD49A7" w:rsidP="00B01F21">
      <w:pPr>
        <w:pStyle w:val="ListParagraph"/>
        <w:numPr>
          <w:ilvl w:val="1"/>
          <w:numId w:val="5"/>
        </w:numPr>
        <w:tabs>
          <w:tab w:val="left" w:pos="820"/>
        </w:tabs>
        <w:spacing w:before="12" w:line="360" w:lineRule="auto"/>
        <w:ind w:right="160"/>
        <w:jc w:val="both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Results, Discussion &amp; Conclusion: Maximum 500 words (Only one table or a figure could be included in this section)</w:t>
      </w:r>
    </w:p>
    <w:p w14:paraId="30776A9A" w14:textId="1BE091B5" w:rsidR="00AD49A7" w:rsidRPr="00AD49A7" w:rsidRDefault="00AD49A7" w:rsidP="00B01F21">
      <w:pPr>
        <w:pStyle w:val="ListParagraph"/>
        <w:numPr>
          <w:ilvl w:val="1"/>
          <w:numId w:val="5"/>
        </w:numPr>
        <w:spacing w:before="12" w:line="360" w:lineRule="auto"/>
        <w:rPr>
          <w:rFonts w:eastAsia="Calibri"/>
          <w:sz w:val="24"/>
          <w:szCs w:val="24"/>
        </w:rPr>
      </w:pPr>
      <w:r w:rsidRPr="00AD49A7">
        <w:rPr>
          <w:rFonts w:eastAsia="Calibri"/>
          <w:sz w:val="24"/>
          <w:szCs w:val="24"/>
        </w:rPr>
        <w:t>Key references: Maximum 5</w:t>
      </w:r>
    </w:p>
    <w:p w14:paraId="70416597" w14:textId="77777777" w:rsidR="00AD49A7" w:rsidRPr="00AD49A7" w:rsidRDefault="00AD49A7" w:rsidP="00B01F21">
      <w:pPr>
        <w:spacing w:before="1" w:line="360" w:lineRule="auto"/>
        <w:rPr>
          <w:sz w:val="24"/>
          <w:szCs w:val="24"/>
        </w:rPr>
      </w:pPr>
    </w:p>
    <w:p w14:paraId="253A97C1" w14:textId="4FDF75CE" w:rsidR="005A3D18" w:rsidRPr="00AD49A7" w:rsidRDefault="00AD49A7" w:rsidP="00B01F21">
      <w:pPr>
        <w:spacing w:line="360" w:lineRule="auto"/>
        <w:ind w:left="100"/>
        <w:rPr>
          <w:sz w:val="24"/>
          <w:szCs w:val="24"/>
        </w:rPr>
      </w:pPr>
      <w:r w:rsidRPr="00B01F21">
        <w:rPr>
          <w:rFonts w:eastAsia="Calibri"/>
          <w:b/>
          <w:bCs/>
          <w:sz w:val="24"/>
          <w:szCs w:val="24"/>
        </w:rPr>
        <w:t>Deadline for submission of Abstracts</w:t>
      </w:r>
      <w:r w:rsidR="00686B9A" w:rsidRPr="00B01F21">
        <w:rPr>
          <w:rFonts w:eastAsia="Calibri"/>
          <w:b/>
          <w:bCs/>
          <w:sz w:val="24"/>
          <w:szCs w:val="24"/>
        </w:rPr>
        <w:t xml:space="preserve"> with the </w:t>
      </w:r>
      <w:r w:rsidRPr="00B01F21">
        <w:rPr>
          <w:rFonts w:eastAsia="Calibri"/>
          <w:b/>
          <w:bCs/>
          <w:sz w:val="24"/>
          <w:szCs w:val="24"/>
        </w:rPr>
        <w:t>Extended Abstracts is 31.</w:t>
      </w:r>
      <w:r w:rsidR="00B01F21" w:rsidRPr="00B01F21">
        <w:rPr>
          <w:rFonts w:eastAsia="Calibri"/>
          <w:b/>
          <w:bCs/>
          <w:sz w:val="24"/>
          <w:szCs w:val="24"/>
        </w:rPr>
        <w:t>10</w:t>
      </w:r>
      <w:r w:rsidRPr="00B01F21">
        <w:rPr>
          <w:rFonts w:eastAsia="Calibri"/>
          <w:b/>
          <w:bCs/>
          <w:sz w:val="24"/>
          <w:szCs w:val="24"/>
        </w:rPr>
        <w:t>.2021</w:t>
      </w:r>
    </w:p>
    <w:sectPr w:rsidR="005A3D18" w:rsidRPr="00AD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942"/>
    <w:multiLevelType w:val="hybridMultilevel"/>
    <w:tmpl w:val="79F08ED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1175F5D"/>
    <w:multiLevelType w:val="hybridMultilevel"/>
    <w:tmpl w:val="676E617C"/>
    <w:lvl w:ilvl="0" w:tplc="04090003">
      <w:start w:val="1"/>
      <w:numFmt w:val="bullet"/>
      <w:lvlText w:val="o"/>
      <w:lvlJc w:val="left"/>
      <w:pPr>
        <w:ind w:left="4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4AEF6A4E"/>
    <w:multiLevelType w:val="hybridMultilevel"/>
    <w:tmpl w:val="267C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3755"/>
    <w:multiLevelType w:val="hybridMultilevel"/>
    <w:tmpl w:val="D64A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6D1A"/>
    <w:multiLevelType w:val="hybridMultilevel"/>
    <w:tmpl w:val="D68AF2F2"/>
    <w:lvl w:ilvl="0" w:tplc="DDCEE69E">
      <w:numFmt w:val="bullet"/>
      <w:lvlText w:val=""/>
      <w:lvlJc w:val="left"/>
      <w:pPr>
        <w:ind w:left="820" w:hanging="360"/>
      </w:pPr>
      <w:rPr>
        <w:rFonts w:ascii="Arial Unicode MS" w:eastAsia="Arial Unicode MS" w:hAnsi="Arial Unicode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C5D5850"/>
    <w:multiLevelType w:val="hybridMultilevel"/>
    <w:tmpl w:val="89ACF03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7"/>
    <w:rsid w:val="00202CAD"/>
    <w:rsid w:val="005A3D18"/>
    <w:rsid w:val="00686B9A"/>
    <w:rsid w:val="00AD49A7"/>
    <w:rsid w:val="00B0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2F60"/>
  <w15:chartTrackingRefBased/>
  <w15:docId w15:val="{250E6956-A179-4B5E-9183-ED81BF5C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ruh.ac.lk/JUR/" TargetMode="External"/><Relationship Id="rId5" Type="http://schemas.openxmlformats.org/officeDocument/2006/relationships/hyperlink" Target="http://www.lib.ruh.ac.lk/roh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Udari  Rathnathunga</dc:creator>
  <cp:keywords/>
  <dc:description/>
  <cp:lastModifiedBy>Dr. Udari  Rathnathunga</cp:lastModifiedBy>
  <cp:revision>2</cp:revision>
  <dcterms:created xsi:type="dcterms:W3CDTF">2021-06-20T05:29:00Z</dcterms:created>
  <dcterms:modified xsi:type="dcterms:W3CDTF">2021-08-29T12:21:00Z</dcterms:modified>
</cp:coreProperties>
</file>